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4C6C" w14:textId="66722253" w:rsidR="00E15850" w:rsidRPr="00092214" w:rsidRDefault="00E15850" w:rsidP="00E15850">
      <w:pPr>
        <w:jc w:val="center"/>
        <w:rPr>
          <w:rFonts w:ascii="Times New Roman" w:hAnsi="Times New Roman"/>
          <w:bCs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305"/>
      </w:tblGrid>
      <w:tr w:rsidR="00E15850" w:rsidRPr="00092214" w14:paraId="2CF0CD4B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38659ACF" w14:textId="461B9A32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 w:rsidR="0065182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182E" w:rsidRPr="00E15850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65182E" w:rsidRPr="0065182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OАС ИТ, ОАС ИМ</w:t>
            </w:r>
          </w:p>
        </w:tc>
      </w:tr>
      <w:tr w:rsidR="00E15850" w:rsidRPr="00092214" w14:paraId="07F26132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2D0084C6" w14:textId="17F5E304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2A11D07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65182E" w:rsidRPr="2A11D07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МАТЕМАТИКА 1</w:t>
            </w:r>
          </w:p>
        </w:tc>
      </w:tr>
      <w:tr w:rsidR="00E15850" w:rsidRPr="00092214" w14:paraId="7FDFED69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788776A7" w14:textId="41F95C7B" w:rsidR="00E15850" w:rsidRPr="00E15850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="0065182E" w:rsidRPr="0065182E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Нада Ж. Дамљановић, Драган Ж. Ђурчић</w:t>
            </w:r>
          </w:p>
        </w:tc>
      </w:tr>
      <w:tr w:rsidR="00E15850" w:rsidRPr="00092214" w14:paraId="4156EA72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4CA3C204" w14:textId="49B897BF" w:rsidR="00E15850" w:rsidRPr="0065182E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65182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182E" w:rsidRPr="0065182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обавезни</w:t>
            </w:r>
            <w:proofErr w:type="spellEnd"/>
          </w:p>
        </w:tc>
      </w:tr>
      <w:tr w:rsidR="00E15850" w:rsidRPr="00092214" w14:paraId="73C683EA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3E6CECD5" w14:textId="500B67C7" w:rsidR="00E15850" w:rsidRPr="0065182E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65182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5182E" w:rsidRPr="0065182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15850" w:rsidRPr="00092214" w14:paraId="4CC53E0E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21BF8E5D" w14:textId="4B7D55D7" w:rsidR="00E15850" w:rsidRPr="0065182E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65182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5182E" w:rsidRPr="0065182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нема</w:t>
            </w:r>
            <w:proofErr w:type="spellEnd"/>
          </w:p>
        </w:tc>
      </w:tr>
      <w:tr w:rsidR="00E15850" w:rsidRPr="00092214" w14:paraId="4E19E60B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45EA88B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177DB03" w14:textId="33A6D2EB" w:rsidR="00E15850" w:rsidRPr="00FD3535" w:rsidRDefault="0065182E" w:rsidP="00A77FE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3535">
              <w:rPr>
                <w:rFonts w:ascii="Times New Roman" w:hAnsi="Times New Roman"/>
                <w:sz w:val="20"/>
                <w:szCs w:val="20"/>
              </w:rPr>
              <w:t xml:space="preserve">Оспособљавање студената за апстрактно мишљење и стицање фундаменталних знања из области линеарне </w:t>
            </w:r>
            <w:r w:rsidR="00A77F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D3535">
              <w:rPr>
                <w:rFonts w:ascii="Times New Roman" w:hAnsi="Times New Roman"/>
                <w:sz w:val="20"/>
                <w:szCs w:val="20"/>
              </w:rPr>
              <w:t>алгебре и математичке анализе.</w:t>
            </w:r>
          </w:p>
        </w:tc>
      </w:tr>
      <w:tr w:rsidR="00E15850" w:rsidRPr="00092214" w14:paraId="4080A0B6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529B19A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E7F30D2" w14:textId="21F66062" w:rsidR="00E15850" w:rsidRPr="00092214" w:rsidRDefault="00FD3535" w:rsidP="00A77FE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FD3535">
              <w:rPr>
                <w:rFonts w:ascii="Times New Roman" w:hAnsi="Times New Roman"/>
                <w:sz w:val="20"/>
                <w:szCs w:val="20"/>
                <w:lang w:val="sr-Cyrl-CS"/>
              </w:rPr>
              <w:t>На крају курса студент треба да овлада основним математичким идејама, концептима и резултатима и да</w:t>
            </w:r>
            <w:r w:rsidRPr="00FD353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7FE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D3535">
              <w:rPr>
                <w:rFonts w:ascii="Times New Roman" w:hAnsi="Times New Roman"/>
                <w:sz w:val="20"/>
                <w:szCs w:val="20"/>
                <w:lang w:val="sr-Cyrl-CS"/>
              </w:rPr>
              <w:t>буде оспособљен да их самостално практично примени у стручним предметима.</w:t>
            </w:r>
          </w:p>
        </w:tc>
      </w:tr>
      <w:tr w:rsidR="00E15850" w:rsidRPr="00092214" w14:paraId="7A6AA253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21A23757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731DA8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7E9A13CF" w14:textId="511F2A4E" w:rsidR="00E15850" w:rsidRPr="00A77FE1" w:rsidRDefault="00A77FE1" w:rsidP="00A77FE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Језик математике, формуле и технике доказивања, скупови, релације, функције, поље реалних бројева,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поље комплексних бројева, матрице, сабирање и множење матрица, детерминанте, особине детерминанти,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детерминанте вишег реда, инверзна матрица, ранг матрице, системи линеарних једначина, Гаусов метод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елиминације, Крамерово правило, дискусија система линеарних једначина, решавање система једначина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помоћу матрица, вектори у Декартовом координатном систему, скаларни производ вектора, векторски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производ вектора, мешовити производ вектора, тачка, растојање између две тачке, раван, каконски облик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једначине равни, раван кроз три тачке, сегментни облик једначине равни, нормални облик једначине равни,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растојање тачке од равни, међусобни однос двеју равни, прамен равни, права, канонски облик једначине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праве, права кроз две тачке, однос између правих, растојанње тачке од праве, растојње мимоилазних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правих, однос праве и равни, низови, гранична вредност низа, Кошијеви низови, монотони низови,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гранична вредност функције, непрекидност функције, прекиди функција, извод функције, основна правила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за први извод функције, диференцијал функције, геометријско тумачење извода и прираштаја функције,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извод сложене функције, извод имплицитне функције, извод инверзне функције, први извод функције дате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у параметарском облику, изводи вишег реда, примена извода, монотоност и екстремне вредности функције,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теореме средње вредности, конкавност графика функције, Лопиталово правило, испитивање функција,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разни задаци са применом извода.</w:t>
            </w:r>
          </w:p>
          <w:p w14:paraId="5465595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1F041371" w14:textId="44FBFB95" w:rsidR="00E15850" w:rsidRPr="00092214" w:rsidRDefault="00A77F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Аудиторне вежбе прате садржај предавања, на вежбама се разрађује практичан део предмета, кроз израду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задатака из сваке области.</w:t>
            </w:r>
          </w:p>
        </w:tc>
      </w:tr>
      <w:tr w:rsidR="00E15850" w:rsidRPr="00092214" w14:paraId="4F433D38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67E246E8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5DAB1A68" w14:textId="351E1F11" w:rsidR="00A77FE1" w:rsidRPr="00A77FE1" w:rsidRDefault="00A77FE1" w:rsidP="462DA15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[1] </w:t>
            </w:r>
            <w:r w:rsidR="3E10AE37"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E.J. Herman, G. Strang, Calculus Volume 1, </w:t>
            </w:r>
            <w:r w:rsidR="4D85D782"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OpenStax, 2016, e-ISSN: </w:t>
            </w:r>
            <w:r w:rsidR="3E10AE37"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>978-1-947172-13-5</w:t>
            </w:r>
            <w:r w:rsidR="333EE07F"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, </w:t>
            </w:r>
          </w:p>
          <w:p w14:paraId="375580F5" w14:textId="24F48AB2" w:rsidR="00A77FE1" w:rsidRPr="00A77FE1" w:rsidRDefault="333EE07F" w:rsidP="462DA15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>https://openstax.org/details/books/calculus-volume-1.</w:t>
            </w:r>
          </w:p>
          <w:p w14:paraId="2DA8C90C" w14:textId="74893507" w:rsidR="00A77FE1" w:rsidRPr="00A77FE1" w:rsidRDefault="333EE07F" w:rsidP="462DA15A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[2] </w:t>
            </w:r>
            <w:r w:rsidR="00A77FE1"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>Стевановић, М. (2006). Математика 1, Технички Факултет Чачак</w:t>
            </w:r>
            <w:r w:rsidR="0DB31566"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>, ISBN - 86-7776-034-2</w:t>
            </w:r>
            <w:r w:rsidR="15BD81BD" w:rsidRPr="462DA15A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3F35A7FA" w14:textId="446164EE" w:rsidR="00A77FE1" w:rsidRPr="00A77FE1" w:rsidRDefault="00A77FE1" w:rsidP="00A77FE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5F3578CD">
              <w:rPr>
                <w:rFonts w:ascii="Times New Roman" w:hAnsi="Times New Roman"/>
                <w:sz w:val="20"/>
                <w:szCs w:val="20"/>
                <w:lang w:val="sr-Cyrl-CS"/>
              </w:rPr>
              <w:t>[</w:t>
            </w:r>
            <w:r w:rsidR="00A204E3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5F3578CD">
              <w:rPr>
                <w:rFonts w:ascii="Times New Roman" w:hAnsi="Times New Roman"/>
                <w:sz w:val="20"/>
                <w:szCs w:val="20"/>
                <w:lang w:val="sr-Cyrl-CS"/>
              </w:rPr>
              <w:t>] Миличић, П., Ушћумлић, М. (1973). Збирка задатака из више математике 1, Наука, Београд</w:t>
            </w:r>
            <w:r w:rsidR="7A770B30" w:rsidRPr="5F3578C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  <w:p w14:paraId="532B8D69" w14:textId="62C411D5" w:rsidR="00E15850" w:rsidRDefault="00A77FE1" w:rsidP="00A77FE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[</w:t>
            </w:r>
            <w:r w:rsidR="00A204E3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] Жижовић, М. (1998). Математика, ИЦИМ, Крушевац.</w:t>
            </w:r>
          </w:p>
          <w:p w14:paraId="3652AC57" w14:textId="1DDDFFF2" w:rsidR="00265EAC" w:rsidRDefault="00265EAC" w:rsidP="00A77FE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="00A204E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] Hass, J., Heil, C., Weir, M. (2017), </w:t>
            </w:r>
            <w:r w:rsidRPr="00265EAC">
              <w:rPr>
                <w:rFonts w:ascii="Times New Roman" w:hAnsi="Times New Roman"/>
                <w:sz w:val="20"/>
                <w:szCs w:val="20"/>
              </w:rPr>
              <w:t>Thomas' Calculus, Early Transcendentals, Single Variable, 14th Edition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14:paraId="1F4D9A7E" w14:textId="7D165931" w:rsidR="00265EAC" w:rsidRPr="00265EAC" w:rsidRDefault="00265EAC" w:rsidP="00A77FE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</w:t>
            </w:r>
            <w:r w:rsidRPr="00265EAC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ISBN-10</w:t>
            </w:r>
            <w:r w:rsidRPr="00265EA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: </w:t>
            </w:r>
            <w:r w:rsidRPr="00265EAC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9780134439419</w:t>
            </w:r>
            <w:r w:rsidRPr="00265EAC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65EAC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ISBN-13:</w:t>
            </w:r>
            <w:r w:rsidRPr="00265EA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265EAC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978-0134439419</w:t>
            </w:r>
            <w:r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6C784088" w14:textId="5C1F68FB" w:rsidR="00265EAC" w:rsidRDefault="00265EAC" w:rsidP="00A77FE1">
            <w:pPr>
              <w:tabs>
                <w:tab w:val="left" w:pos="567"/>
              </w:tabs>
              <w:spacing w:after="60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  <w:t>[</w:t>
            </w:r>
            <w:r w:rsidR="00A204E3"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  <w:t xml:space="preserve">] McGregor, C., Nimmo, J., Stothers, W. (2010), </w:t>
            </w:r>
            <w:r w:rsidRPr="00265EA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Fundamentals of University Mathematics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,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0B40C7F2" w14:textId="09F0719F" w:rsidR="00265EAC" w:rsidRPr="00265EAC" w:rsidRDefault="00265EAC" w:rsidP="00A77FE1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color w:val="0F111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US"/>
              </w:rPr>
              <w:t xml:space="preserve">    </w:t>
            </w:r>
            <w:r w:rsidRPr="00265EAC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ISBN 978-0-85709-223-6</w:t>
            </w:r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</w:tc>
      </w:tr>
      <w:tr w:rsidR="00E15850" w:rsidRPr="00092214" w14:paraId="7B19B1F3" w14:textId="77777777" w:rsidTr="008A676E">
        <w:trPr>
          <w:trHeight w:val="227"/>
          <w:jc w:val="center"/>
        </w:trPr>
        <w:tc>
          <w:tcPr>
            <w:tcW w:w="3146" w:type="dxa"/>
            <w:vAlign w:val="center"/>
          </w:tcPr>
          <w:p w14:paraId="619070EC" w14:textId="5337DFA2" w:rsidR="00E15850" w:rsidRPr="00A77FE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  <w:r w:rsidR="00A77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</w:t>
            </w:r>
            <w:r w:rsidR="00A77FE1" w:rsidRPr="00A77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135" w:type="dxa"/>
            <w:gridSpan w:val="2"/>
            <w:vAlign w:val="center"/>
          </w:tcPr>
          <w:p w14:paraId="7D48F6EE" w14:textId="7C750E0D" w:rsidR="00E15850" w:rsidRPr="00A77FE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A77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A77FE1" w:rsidRPr="00A77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353" w:type="dxa"/>
            <w:gridSpan w:val="2"/>
            <w:vAlign w:val="center"/>
          </w:tcPr>
          <w:p w14:paraId="7336098F" w14:textId="7F2B3E27" w:rsidR="00E15850" w:rsidRPr="00A77FE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A77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A77FE1" w:rsidRPr="00A77FE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E15850" w:rsidRPr="00092214" w14:paraId="62C82CEB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23CCB2FC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1F4986E1" w14:textId="64001573" w:rsidR="00E15850" w:rsidRPr="00092214" w:rsidRDefault="00A77FE1" w:rsidP="00A77FE1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На предавањима и вежбама се користе класичне методе наставе уз коришћење видео пројектора 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интеракцију са студентима. Знање студената се тестира преко израде домаћих задатака, колоквијума и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завршног (писменог и усменог) испита. На завршном испиту се проверава свеобухватно разумевање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77FE1">
              <w:rPr>
                <w:rFonts w:ascii="Times New Roman" w:hAnsi="Times New Roman"/>
                <w:sz w:val="20"/>
                <w:szCs w:val="20"/>
                <w:lang w:val="sr-Cyrl-CS"/>
              </w:rPr>
              <w:t>изложеног градива.</w:t>
            </w:r>
          </w:p>
        </w:tc>
      </w:tr>
      <w:tr w:rsidR="00E15850" w:rsidRPr="00092214" w14:paraId="4CEDBD4D" w14:textId="77777777" w:rsidTr="008A676E">
        <w:trPr>
          <w:trHeight w:val="227"/>
          <w:jc w:val="center"/>
        </w:trPr>
        <w:tc>
          <w:tcPr>
            <w:tcW w:w="9634" w:type="dxa"/>
            <w:gridSpan w:val="5"/>
            <w:vAlign w:val="center"/>
          </w:tcPr>
          <w:p w14:paraId="347022A4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E15850" w:rsidRPr="00092214" w14:paraId="596FE90E" w14:textId="77777777" w:rsidTr="008A676E">
        <w:trPr>
          <w:trHeight w:val="227"/>
          <w:jc w:val="center"/>
        </w:trPr>
        <w:tc>
          <w:tcPr>
            <w:tcW w:w="3146" w:type="dxa"/>
            <w:vAlign w:val="center"/>
          </w:tcPr>
          <w:p w14:paraId="57841700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017347A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3E906D51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5BE973D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3BBCEA2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E15850" w:rsidRPr="00092214" w14:paraId="48241CB1" w14:textId="77777777" w:rsidTr="008A676E">
        <w:trPr>
          <w:trHeight w:val="227"/>
          <w:jc w:val="center"/>
        </w:trPr>
        <w:tc>
          <w:tcPr>
            <w:tcW w:w="3146" w:type="dxa"/>
            <w:vAlign w:val="center"/>
          </w:tcPr>
          <w:p w14:paraId="354CA6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58A93708" w14:textId="7243BC62" w:rsidR="00E15850" w:rsidRPr="00A77FE1" w:rsidRDefault="00A77F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EB11F32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C06B395" w14:textId="2CC4E0F0" w:rsidR="00E15850" w:rsidRPr="00A77FE1" w:rsidRDefault="00A77F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</w:tr>
      <w:tr w:rsidR="00E15850" w:rsidRPr="00092214" w14:paraId="14EA7C6B" w14:textId="77777777" w:rsidTr="008A676E">
        <w:trPr>
          <w:trHeight w:val="227"/>
          <w:jc w:val="center"/>
        </w:trPr>
        <w:tc>
          <w:tcPr>
            <w:tcW w:w="3146" w:type="dxa"/>
            <w:vAlign w:val="center"/>
          </w:tcPr>
          <w:p w14:paraId="2C6D89AB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01473706" w14:textId="2B9EF31D" w:rsidR="00E15850" w:rsidRPr="00A77FE1" w:rsidRDefault="00A77F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41682C0" w14:textId="6CF60FAA" w:rsidR="00E15850" w:rsidRPr="00092214" w:rsidRDefault="00E15850" w:rsidP="3E4474C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усмени </w:t>
            </w:r>
            <w:r w:rsidR="1BE8A7FD" w:rsidRPr="3E4474C5">
              <w:rPr>
                <w:rFonts w:ascii="Times New Roman" w:hAnsi="Times New Roman"/>
                <w:sz w:val="20"/>
                <w:szCs w:val="20"/>
                <w:lang w:val="sr-Cyrl-CS"/>
              </w:rPr>
              <w:t>испит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EA2C19E" w14:textId="5AA9CC61" w:rsidR="00E15850" w:rsidRPr="00A77FE1" w:rsidRDefault="00A77F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</w:tr>
      <w:tr w:rsidR="00E15850" w:rsidRPr="00092214" w14:paraId="5CC9ED10" w14:textId="77777777" w:rsidTr="008A676E">
        <w:trPr>
          <w:trHeight w:val="227"/>
          <w:jc w:val="center"/>
        </w:trPr>
        <w:tc>
          <w:tcPr>
            <w:tcW w:w="3146" w:type="dxa"/>
            <w:vAlign w:val="center"/>
          </w:tcPr>
          <w:p w14:paraId="02B3BE93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44A2B0E2" w14:textId="625C3C2B" w:rsidR="00E15850" w:rsidRPr="00A77FE1" w:rsidRDefault="00A77F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0689506" w14:textId="3F127D5B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3729E1D8" w14:textId="77777777" w:rsidR="00E15850" w:rsidRPr="00A77FE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E15850" w:rsidRPr="00092214" w14:paraId="4341132D" w14:textId="77777777" w:rsidTr="008A676E">
        <w:trPr>
          <w:trHeight w:val="227"/>
          <w:jc w:val="center"/>
        </w:trPr>
        <w:tc>
          <w:tcPr>
            <w:tcW w:w="3146" w:type="dxa"/>
            <w:vAlign w:val="center"/>
          </w:tcPr>
          <w:p w14:paraId="49987799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7930FAED" w14:textId="077D28FF" w:rsidR="00E15850" w:rsidRPr="00A77FE1" w:rsidRDefault="00A77FE1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7FE1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71747D6" w14:textId="77777777" w:rsidR="00E15850" w:rsidRPr="00092214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14:paraId="032BD2C2" w14:textId="77777777" w:rsidR="00E15850" w:rsidRPr="00A77FE1" w:rsidRDefault="00E15850" w:rsidP="007E090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144A64D2" w14:textId="435FD6E9" w:rsidR="00191F13" w:rsidRDefault="00191F13"/>
    <w:p w14:paraId="4EC49417" w14:textId="77777777" w:rsidR="00A77FE1" w:rsidRDefault="00A77FE1"/>
    <w:sectPr w:rsidR="00A77FE1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67"/>
    <w:rsid w:val="00042567"/>
    <w:rsid w:val="000723CF"/>
    <w:rsid w:val="001610EB"/>
    <w:rsid w:val="00191F13"/>
    <w:rsid w:val="00250DB3"/>
    <w:rsid w:val="00265EAC"/>
    <w:rsid w:val="00283516"/>
    <w:rsid w:val="002B2CB6"/>
    <w:rsid w:val="00390E2C"/>
    <w:rsid w:val="0065182E"/>
    <w:rsid w:val="008A676E"/>
    <w:rsid w:val="00A204E3"/>
    <w:rsid w:val="00A77FE1"/>
    <w:rsid w:val="00B55A4C"/>
    <w:rsid w:val="00C77D70"/>
    <w:rsid w:val="00E15850"/>
    <w:rsid w:val="00FD3535"/>
    <w:rsid w:val="0C78C4DF"/>
    <w:rsid w:val="0DB31566"/>
    <w:rsid w:val="12E80663"/>
    <w:rsid w:val="15BD81BD"/>
    <w:rsid w:val="1BE8A7FD"/>
    <w:rsid w:val="1C96D62F"/>
    <w:rsid w:val="1EA718EC"/>
    <w:rsid w:val="1FCE76F1"/>
    <w:rsid w:val="24A1E814"/>
    <w:rsid w:val="2A11D077"/>
    <w:rsid w:val="333EE07F"/>
    <w:rsid w:val="3B16128B"/>
    <w:rsid w:val="3E10AE37"/>
    <w:rsid w:val="3E4474C5"/>
    <w:rsid w:val="3F3988BA"/>
    <w:rsid w:val="4271297C"/>
    <w:rsid w:val="462DA15A"/>
    <w:rsid w:val="4D85D782"/>
    <w:rsid w:val="5F3578CD"/>
    <w:rsid w:val="704553D7"/>
    <w:rsid w:val="7518C4FA"/>
    <w:rsid w:val="7A77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9797"/>
  <w15:chartTrackingRefBased/>
  <w15:docId w15:val="{9E28F552-BE68-4C48-8AFD-B602CA14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67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90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E2C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E2C"/>
    <w:rPr>
      <w:rFonts w:ascii="Calibri" w:eastAsia="Calibri" w:hAnsi="Calibri" w:cs="Times New Roman"/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E2C"/>
    <w:rPr>
      <w:rFonts w:ascii="Segoe UI" w:eastAsia="Calibri" w:hAnsi="Segoe UI" w:cs="Segoe UI"/>
      <w:sz w:val="18"/>
      <w:szCs w:val="18"/>
      <w:lang w:val="sr-Cyrl-RS"/>
    </w:rPr>
  </w:style>
  <w:style w:type="character" w:styleId="Hyperlink">
    <w:name w:val="Hyperlink"/>
    <w:basedOn w:val="DefaultParagraphFont"/>
    <w:uiPriority w:val="99"/>
    <w:unhideWhenUsed/>
    <w:rsid w:val="00265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5E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5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3678CE-3B01-4407-909D-22CC7C90C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61B9AA-C54F-46D8-915E-360E842FE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B805C-7B6F-4C7F-8C0A-32CABCC98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Nikolić</dc:creator>
  <cp:keywords/>
  <dc:description/>
  <cp:lastModifiedBy>Andrijana Jovicic</cp:lastModifiedBy>
  <cp:revision>11</cp:revision>
  <dcterms:created xsi:type="dcterms:W3CDTF">2023-03-20T13:20:00Z</dcterms:created>
  <dcterms:modified xsi:type="dcterms:W3CDTF">2023-11-07T16:32:00Z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